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2025【心悦威海】四日游行程单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（我社工作人员出发前一天17:00短信或电话通知具体乘车事项，请注意查看手机，高铁票为电子票，车站售票厅持身份证乘车即可）抵达后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游览国家4A级景区【成山头风景区】（门票已含 游览约1.5小时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。
                <w:br/>
                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
                <w:br/>
                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。这片海岸吸引了众多文人墨客前来观光游览，斥资打造的那香海•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午餐后结束行程，前往威海站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2.【用车】当地空调旅游车
                <w:br/>
                3.【住宿】全程4钻酒店 
                <w:br/>
                4.【门票】含景点首道门票
                <w:br/>
                5.【导游】含专业中文导游服务
                <w:br/>
                6.【用餐】3早餐
                <w:br/>
                7.【大童】大童不含住宿+早餐，其余全含）
                <w:br/>
                8.【小童】小童不含动车+住宿+早餐，其余全含）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不含正餐
                <w:br/>
                必消自费：499人 车导等杂费  报名时一并收取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1：出发前3天内，退团收取高铁退票费10%10-25%不等，出发7日内退团扣除车位等其他损失费800元/人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2025-07-08T10:38:24+08:00</dcterms:created>
  <dcterms:modified xsi:type="dcterms:W3CDTF">2025-07-08T10:38:24+08:00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